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65" w:rsidRDefault="006F2965" w:rsidP="001F3FEE">
      <w:pPr>
        <w:jc w:val="center"/>
        <w:outlineLvl w:val="2"/>
        <w:rPr>
          <w:b/>
          <w:sz w:val="28"/>
          <w:szCs w:val="28"/>
        </w:rPr>
      </w:pPr>
      <w:r w:rsidRPr="00081CAC">
        <w:rPr>
          <w:b/>
          <w:sz w:val="28"/>
          <w:szCs w:val="28"/>
        </w:rPr>
        <w:t>ОСНОВНЫЕ НАПРАВЛЕНИЯ</w:t>
      </w:r>
      <w:r w:rsidR="004C0BFD">
        <w:rPr>
          <w:b/>
          <w:sz w:val="28"/>
          <w:szCs w:val="28"/>
        </w:rPr>
        <w:t xml:space="preserve"> </w:t>
      </w:r>
    </w:p>
    <w:p w:rsidR="006F2965" w:rsidRDefault="004C0BFD" w:rsidP="001F3FEE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и</w:t>
      </w:r>
      <w:r w:rsidRPr="00081CAC">
        <w:rPr>
          <w:b/>
          <w:sz w:val="28"/>
          <w:szCs w:val="28"/>
        </w:rPr>
        <w:t xml:space="preserve"> налоговой политики</w:t>
      </w:r>
      <w:r w:rsidRPr="004C0BFD">
        <w:rPr>
          <w:b/>
          <w:sz w:val="28"/>
          <w:szCs w:val="28"/>
        </w:rPr>
        <w:t xml:space="preserve"> </w:t>
      </w:r>
      <w:r w:rsidR="00CF7463">
        <w:rPr>
          <w:b/>
          <w:sz w:val="28"/>
          <w:szCs w:val="28"/>
        </w:rPr>
        <w:t xml:space="preserve">Черемшанского муниципального района </w:t>
      </w:r>
      <w:r w:rsidRPr="00081CAC">
        <w:rPr>
          <w:b/>
          <w:sz w:val="28"/>
          <w:szCs w:val="28"/>
        </w:rPr>
        <w:t xml:space="preserve">Республики Татарстан </w:t>
      </w:r>
    </w:p>
    <w:p w:rsidR="004C0BFD" w:rsidRDefault="004C0BFD" w:rsidP="001F3FEE">
      <w:pPr>
        <w:jc w:val="center"/>
        <w:outlineLvl w:val="2"/>
        <w:rPr>
          <w:b/>
          <w:bCs/>
          <w:sz w:val="28"/>
          <w:szCs w:val="28"/>
        </w:rPr>
      </w:pPr>
      <w:r w:rsidRPr="00081CAC">
        <w:rPr>
          <w:b/>
          <w:sz w:val="28"/>
          <w:szCs w:val="28"/>
        </w:rPr>
        <w:t>на 201</w:t>
      </w:r>
      <w:r w:rsidR="0043107E">
        <w:rPr>
          <w:b/>
          <w:sz w:val="28"/>
          <w:szCs w:val="28"/>
        </w:rPr>
        <w:t>5</w:t>
      </w:r>
      <w:r w:rsidRPr="00081CAC">
        <w:rPr>
          <w:b/>
          <w:sz w:val="28"/>
          <w:szCs w:val="28"/>
        </w:rPr>
        <w:t xml:space="preserve"> год и</w:t>
      </w:r>
      <w:r w:rsidRPr="004C0BFD">
        <w:rPr>
          <w:b/>
          <w:sz w:val="28"/>
          <w:szCs w:val="28"/>
        </w:rPr>
        <w:t xml:space="preserve"> </w:t>
      </w:r>
      <w:r w:rsidRPr="00081CAC">
        <w:rPr>
          <w:b/>
          <w:sz w:val="28"/>
          <w:szCs w:val="28"/>
        </w:rPr>
        <w:t>плановый период 201</w:t>
      </w:r>
      <w:r w:rsidR="0043107E">
        <w:rPr>
          <w:b/>
          <w:sz w:val="28"/>
          <w:szCs w:val="28"/>
        </w:rPr>
        <w:t>6</w:t>
      </w:r>
      <w:r w:rsidRPr="00081CAC">
        <w:rPr>
          <w:b/>
          <w:sz w:val="28"/>
          <w:szCs w:val="28"/>
        </w:rPr>
        <w:t xml:space="preserve"> и 201</w:t>
      </w:r>
      <w:r w:rsidR="0043107E">
        <w:rPr>
          <w:b/>
          <w:sz w:val="28"/>
          <w:szCs w:val="28"/>
        </w:rPr>
        <w:t>7</w:t>
      </w:r>
      <w:r w:rsidRPr="00081CAC">
        <w:rPr>
          <w:b/>
          <w:sz w:val="28"/>
          <w:szCs w:val="28"/>
        </w:rPr>
        <w:t xml:space="preserve"> годов</w:t>
      </w:r>
    </w:p>
    <w:p w:rsidR="004C0BFD" w:rsidRDefault="004C0BFD" w:rsidP="001F3FEE">
      <w:pPr>
        <w:tabs>
          <w:tab w:val="left" w:pos="540"/>
        </w:tabs>
        <w:jc w:val="both"/>
        <w:outlineLvl w:val="2"/>
        <w:rPr>
          <w:b/>
          <w:bCs/>
          <w:sz w:val="28"/>
          <w:szCs w:val="28"/>
        </w:rPr>
      </w:pPr>
    </w:p>
    <w:p w:rsidR="000249DD" w:rsidRPr="00C535CD" w:rsidRDefault="000249DD" w:rsidP="00EF02AE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CB1904">
        <w:rPr>
          <w:sz w:val="28"/>
          <w:szCs w:val="28"/>
        </w:rPr>
        <w:t xml:space="preserve">Основные направления налоговой политики </w:t>
      </w:r>
      <w:r w:rsidR="00CF7463">
        <w:rPr>
          <w:b/>
          <w:sz w:val="28"/>
          <w:szCs w:val="28"/>
        </w:rPr>
        <w:t xml:space="preserve">Черемшанского муниципального района </w:t>
      </w:r>
      <w:r w:rsidR="00CF7463" w:rsidRPr="00081CAC">
        <w:rPr>
          <w:b/>
          <w:sz w:val="28"/>
          <w:szCs w:val="28"/>
        </w:rPr>
        <w:t xml:space="preserve">Республики Татарстан </w:t>
      </w:r>
      <w:r w:rsidRPr="00CB1904">
        <w:rPr>
          <w:sz w:val="28"/>
          <w:szCs w:val="28"/>
        </w:rPr>
        <w:t>Республики Татарстан на 2015 год и плановый период 2016 и 2017 годов сформированы в рамках подготовки проекта бюджета Республики Татарстан на очередной финансовый год и двухлетний плановый период на основании налоговой политики Российской Федерации</w:t>
      </w:r>
      <w:r>
        <w:rPr>
          <w:sz w:val="28"/>
          <w:szCs w:val="28"/>
        </w:rPr>
        <w:t xml:space="preserve"> и послани</w:t>
      </w:r>
      <w:r w:rsidR="00635A7E">
        <w:rPr>
          <w:sz w:val="28"/>
          <w:szCs w:val="28"/>
        </w:rPr>
        <w:t>я</w:t>
      </w:r>
      <w:r>
        <w:rPr>
          <w:sz w:val="28"/>
          <w:szCs w:val="28"/>
        </w:rPr>
        <w:t xml:space="preserve"> Президента Республики Татарстан Государственному Совету Республики Татарстан</w:t>
      </w:r>
      <w:r w:rsidRPr="00CB1904">
        <w:rPr>
          <w:sz w:val="28"/>
          <w:szCs w:val="28"/>
        </w:rPr>
        <w:t xml:space="preserve">. В соответствии с требованиями бюджетного законодательства основные направления налоговой политики являются одним из документов, положения которого необходимо учитывать в процессе </w:t>
      </w:r>
      <w:r>
        <w:rPr>
          <w:sz w:val="28"/>
          <w:szCs w:val="28"/>
        </w:rPr>
        <w:t xml:space="preserve">составления проекта </w:t>
      </w:r>
      <w:r w:rsidRPr="00CB1904">
        <w:rPr>
          <w:sz w:val="28"/>
          <w:szCs w:val="28"/>
        </w:rPr>
        <w:t>бюджета</w:t>
      </w:r>
      <w:r w:rsidRPr="00C535CD">
        <w:rPr>
          <w:sz w:val="28"/>
          <w:szCs w:val="28"/>
        </w:rPr>
        <w:t>.</w:t>
      </w:r>
    </w:p>
    <w:p w:rsidR="000249DD" w:rsidRPr="00545321" w:rsidRDefault="000249DD" w:rsidP="00CF7463">
      <w:pPr>
        <w:spacing w:line="288" w:lineRule="auto"/>
        <w:ind w:right="-57" w:firstLine="567"/>
        <w:jc w:val="both"/>
        <w:rPr>
          <w:rFonts w:eastAsiaTheme="minorHAnsi"/>
          <w:sz w:val="28"/>
          <w:szCs w:val="28"/>
          <w:lang w:eastAsia="en-US"/>
        </w:rPr>
      </w:pPr>
      <w:r w:rsidRPr="00C535CD">
        <w:rPr>
          <w:sz w:val="28"/>
          <w:szCs w:val="28"/>
        </w:rPr>
        <w:t xml:space="preserve">Одной из основополагающих задач налогообложения является обеспечение доходов бюджетной системы. При этом необходимым условием развития экономики продолжает оставаться повышение ее конкурентоспособности, технологического обновления, модернизации производства и диверсификации. Задачами налоговой политики являются поддержка инвестиций в экономику, стимулирование инновационной деятельности. Кроме того, реализация </w:t>
      </w:r>
    </w:p>
    <w:p w:rsidR="000249DD" w:rsidRPr="001B000A" w:rsidRDefault="000249DD" w:rsidP="00EF02AE">
      <w:pPr>
        <w:spacing w:line="288" w:lineRule="auto"/>
        <w:ind w:right="-57" w:firstLine="567"/>
        <w:jc w:val="both"/>
        <w:rPr>
          <w:sz w:val="28"/>
          <w:szCs w:val="28"/>
        </w:rPr>
      </w:pPr>
      <w:r w:rsidRPr="001B000A">
        <w:rPr>
          <w:sz w:val="28"/>
          <w:szCs w:val="28"/>
        </w:rPr>
        <w:t>С 2015 года планируется введение в Российской Федерации налога на недвижимое имущество для физических лиц. В Республике Татарстан реализуются мероприятия по введению данного налога.</w:t>
      </w:r>
    </w:p>
    <w:p w:rsidR="00EF02AE" w:rsidRDefault="000249DD" w:rsidP="00494D04">
      <w:pPr>
        <w:pStyle w:val="ConsPlusNormal"/>
        <w:spacing w:line="288" w:lineRule="auto"/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 w:rsidRPr="00F66C8C">
        <w:rPr>
          <w:rFonts w:ascii="Times New Roman" w:hAnsi="Times New Roman" w:cs="Times New Roman"/>
          <w:sz w:val="28"/>
          <w:szCs w:val="28"/>
        </w:rPr>
        <w:t>Определенное влияние на налоговую политику Республики Татарстан могут оказать возможные изменения в федеральном налоговом законодательстве.</w:t>
      </w:r>
    </w:p>
    <w:p w:rsidR="000249DD" w:rsidRPr="00505813" w:rsidRDefault="000249DD" w:rsidP="00EF02AE">
      <w:pPr>
        <w:spacing w:line="288" w:lineRule="auto"/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505813">
        <w:rPr>
          <w:rFonts w:eastAsia="Calibri"/>
          <w:sz w:val="28"/>
          <w:szCs w:val="28"/>
          <w:lang w:eastAsia="en-US"/>
        </w:rPr>
        <w:t xml:space="preserve">зменения бюджетного законодательства Российской Федерации </w:t>
      </w:r>
      <w:r>
        <w:rPr>
          <w:rFonts w:eastAsia="Calibri"/>
          <w:sz w:val="28"/>
          <w:szCs w:val="28"/>
          <w:lang w:eastAsia="en-US"/>
        </w:rPr>
        <w:t>з</w:t>
      </w:r>
      <w:r w:rsidR="00EF02AE">
        <w:rPr>
          <w:rFonts w:eastAsia="Calibri"/>
          <w:sz w:val="28"/>
          <w:szCs w:val="28"/>
          <w:lang w:eastAsia="en-US"/>
        </w:rPr>
        <w:t>атронут межбюджетные отношения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5813">
        <w:rPr>
          <w:rFonts w:eastAsia="Calibri"/>
          <w:sz w:val="28"/>
          <w:szCs w:val="28"/>
          <w:lang w:eastAsia="en-US"/>
        </w:rPr>
        <w:t>с 2016 года норматив зачисления в местные бюджеты платы за негативное воздействие на окружающую среду увеличивается до 55 процентов за счет уменьшения федеральной доли.</w:t>
      </w: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bCs w:val="0"/>
          <w:sz w:val="28"/>
          <w:szCs w:val="28"/>
          <w:lang w:eastAsia="en-US"/>
        </w:rPr>
        <w:t>В</w:t>
      </w:r>
      <w:r w:rsidRPr="00BE2213">
        <w:rPr>
          <w:rStyle w:val="a6"/>
          <w:rFonts w:eastAsia="Calibri"/>
          <w:b w:val="0"/>
          <w:bCs w:val="0"/>
          <w:sz w:val="28"/>
          <w:szCs w:val="28"/>
          <w:lang w:eastAsia="en-US"/>
        </w:rPr>
        <w:t xml:space="preserve"> сегодняшних условиях замедления темпов экономического развития </w:t>
      </w:r>
      <w:r>
        <w:rPr>
          <w:rStyle w:val="a6"/>
          <w:rFonts w:eastAsia="Calibri"/>
          <w:b w:val="0"/>
          <w:bCs w:val="0"/>
          <w:sz w:val="28"/>
          <w:szCs w:val="28"/>
          <w:lang w:eastAsia="en-US"/>
        </w:rPr>
        <w:t xml:space="preserve">Российской Федерации </w:t>
      </w:r>
      <w:r>
        <w:rPr>
          <w:rStyle w:val="a6"/>
          <w:rFonts w:eastAsia="Calibri"/>
          <w:b w:val="0"/>
          <w:sz w:val="28"/>
          <w:szCs w:val="28"/>
          <w:lang w:eastAsia="en-US"/>
        </w:rPr>
        <w:t>одной из основополагающих задач в сфере бюджетной политики Республики Татарстан</w:t>
      </w:r>
      <w:r w:rsidR="00CF7463">
        <w:rPr>
          <w:rStyle w:val="a6"/>
          <w:rFonts w:eastAsia="Calibri"/>
          <w:b w:val="0"/>
          <w:sz w:val="28"/>
          <w:szCs w:val="28"/>
          <w:lang w:eastAsia="en-US"/>
        </w:rPr>
        <w:t>, следовательно и Черемшанского муниципального района,</w:t>
      </w: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 на предстоящий трехлетний период 2015-2017 годов должно оставаться обеспечение долгосрочной сбалансированности и устойчивости бюджетной системы как базового принципа ответственной и эффективной бюджетной политики. При этом должно обеспечиваться безусловное исполнение всех ранее принятых обязательств республики, а также выполнение задач, поставленных в указах Президента Российской Федерации от 7 мая 2012 года, прежде всего – повышение заработной платы отдельным </w:t>
      </w:r>
      <w:r>
        <w:rPr>
          <w:rStyle w:val="a6"/>
          <w:rFonts w:eastAsia="Calibri"/>
          <w:b w:val="0"/>
          <w:sz w:val="28"/>
          <w:szCs w:val="28"/>
          <w:lang w:eastAsia="en-US"/>
        </w:rPr>
        <w:lastRenderedPageBreak/>
        <w:t>категориям работников бюджетной сферы до обозначенных «дорожными» картами целевых уровней.</w:t>
      </w:r>
    </w:p>
    <w:p w:rsidR="000249DD" w:rsidRDefault="000249DD" w:rsidP="00EF02AE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D861D6">
        <w:rPr>
          <w:color w:val="000000"/>
          <w:sz w:val="28"/>
          <w:szCs w:val="28"/>
        </w:rPr>
        <w:t xml:space="preserve">Бюджетное планирование </w:t>
      </w:r>
      <w:r>
        <w:rPr>
          <w:color w:val="000000"/>
          <w:sz w:val="28"/>
          <w:szCs w:val="28"/>
        </w:rPr>
        <w:t xml:space="preserve">при разработке проекта бюджета </w:t>
      </w:r>
      <w:r w:rsidR="00CF7463">
        <w:rPr>
          <w:color w:val="000000"/>
          <w:sz w:val="28"/>
          <w:szCs w:val="28"/>
        </w:rPr>
        <w:t xml:space="preserve">Черемшанского мунципального района </w:t>
      </w:r>
      <w:r>
        <w:rPr>
          <w:color w:val="000000"/>
          <w:sz w:val="28"/>
          <w:szCs w:val="28"/>
        </w:rPr>
        <w:t xml:space="preserve">Республики Татарстан на 2015 год и на плановый период 2016 и 2017 годов </w:t>
      </w:r>
      <w:r w:rsidRPr="00D861D6">
        <w:rPr>
          <w:color w:val="000000"/>
          <w:sz w:val="28"/>
          <w:szCs w:val="28"/>
        </w:rPr>
        <w:t xml:space="preserve">основывается на </w:t>
      </w:r>
      <w:r>
        <w:rPr>
          <w:color w:val="000000"/>
          <w:sz w:val="28"/>
          <w:szCs w:val="28"/>
        </w:rPr>
        <w:t xml:space="preserve">использовании основных параметров </w:t>
      </w:r>
      <w:r>
        <w:rPr>
          <w:sz w:val="28"/>
          <w:szCs w:val="28"/>
        </w:rPr>
        <w:t xml:space="preserve">прогноза социально-экономического развития Российской Федерации и предельных уровней цен (тарифов) на услуги компаний инфраструктурного сектора </w:t>
      </w:r>
      <w:r w:rsidRPr="005E7253">
        <w:rPr>
          <w:sz w:val="28"/>
          <w:szCs w:val="28"/>
        </w:rPr>
        <w:t>по базовому варианту, принятому за основу для разработки параметров федерального</w:t>
      </w:r>
      <w:r>
        <w:rPr>
          <w:color w:val="000000"/>
          <w:sz w:val="28"/>
          <w:szCs w:val="28"/>
        </w:rPr>
        <w:t xml:space="preserve"> бюджета на 2015 – 2017 годы, который предполагает сохранение инерционных тенденций, </w:t>
      </w:r>
      <w:r w:rsidRPr="007B3FE3">
        <w:rPr>
          <w:color w:val="000000"/>
          <w:sz w:val="28"/>
          <w:szCs w:val="28"/>
        </w:rPr>
        <w:t>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0249DD" w:rsidRDefault="000249DD" w:rsidP="00EF02AE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использ</w:t>
      </w:r>
      <w:r w:rsidR="00635A7E">
        <w:rPr>
          <w:color w:val="000000"/>
          <w:sz w:val="28"/>
          <w:szCs w:val="28"/>
        </w:rPr>
        <w:t>уются</w:t>
      </w:r>
      <w:r>
        <w:rPr>
          <w:color w:val="000000"/>
          <w:sz w:val="28"/>
          <w:szCs w:val="28"/>
        </w:rPr>
        <w:t xml:space="preserve"> следующие параметры:</w:t>
      </w:r>
    </w:p>
    <w:p w:rsidR="000249DD" w:rsidRDefault="000249DD" w:rsidP="000249DD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1588"/>
        <w:gridCol w:w="1588"/>
        <w:gridCol w:w="1588"/>
      </w:tblGrid>
      <w:tr w:rsidR="000249DD" w:rsidRPr="00DC0839" w:rsidTr="000249DD">
        <w:tc>
          <w:tcPr>
            <w:tcW w:w="4698" w:type="dxa"/>
          </w:tcPr>
          <w:p w:rsidR="000249DD" w:rsidRPr="00DC0839" w:rsidRDefault="000249DD" w:rsidP="000249DD">
            <w:pPr>
              <w:jc w:val="center"/>
            </w:pPr>
            <w:r w:rsidRPr="00DC0839">
              <w:t>Наименование</w:t>
            </w:r>
          </w:p>
        </w:tc>
        <w:tc>
          <w:tcPr>
            <w:tcW w:w="1588" w:type="dxa"/>
          </w:tcPr>
          <w:p w:rsidR="000249DD" w:rsidRPr="00DC0839" w:rsidRDefault="000249DD" w:rsidP="000249DD">
            <w:pPr>
              <w:jc w:val="center"/>
            </w:pPr>
            <w:r w:rsidRPr="00DC0839">
              <w:t>201</w:t>
            </w:r>
            <w:r>
              <w:t>5 год</w:t>
            </w:r>
          </w:p>
        </w:tc>
        <w:tc>
          <w:tcPr>
            <w:tcW w:w="1588" w:type="dxa"/>
          </w:tcPr>
          <w:p w:rsidR="000249DD" w:rsidRPr="00DC0839" w:rsidRDefault="000249DD" w:rsidP="000249DD">
            <w:pPr>
              <w:jc w:val="center"/>
            </w:pPr>
            <w:r w:rsidRPr="00DC0839">
              <w:t>201</w:t>
            </w:r>
            <w:r>
              <w:t>6 год</w:t>
            </w:r>
          </w:p>
        </w:tc>
        <w:tc>
          <w:tcPr>
            <w:tcW w:w="1588" w:type="dxa"/>
          </w:tcPr>
          <w:p w:rsidR="000249DD" w:rsidRPr="00DC0839" w:rsidRDefault="000249DD" w:rsidP="000249DD">
            <w:pPr>
              <w:jc w:val="center"/>
            </w:pPr>
            <w:r w:rsidRPr="00DC0839">
              <w:t>201</w:t>
            </w:r>
            <w:r>
              <w:t>7 год</w:t>
            </w:r>
          </w:p>
        </w:tc>
      </w:tr>
      <w:tr w:rsidR="000249DD" w:rsidRPr="00DC0839" w:rsidTr="000249DD">
        <w:tc>
          <w:tcPr>
            <w:tcW w:w="4698" w:type="dxa"/>
          </w:tcPr>
          <w:p w:rsidR="000249DD" w:rsidRPr="00DC0839" w:rsidRDefault="000249DD" w:rsidP="000249DD">
            <w:r w:rsidRPr="00DC0839">
              <w:t>Цена на нефть, долларов за баррель</w:t>
            </w:r>
          </w:p>
        </w:tc>
        <w:tc>
          <w:tcPr>
            <w:tcW w:w="1588" w:type="dxa"/>
          </w:tcPr>
          <w:p w:rsidR="000249DD" w:rsidRPr="00DC0839" w:rsidRDefault="000249DD" w:rsidP="000249DD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0249DD" w:rsidRPr="00DC0839" w:rsidRDefault="000249DD" w:rsidP="000249DD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0249DD" w:rsidRPr="00DC0839" w:rsidRDefault="000249DD" w:rsidP="000249DD">
            <w:pPr>
              <w:jc w:val="center"/>
            </w:pPr>
            <w:r>
              <w:t>100</w:t>
            </w:r>
          </w:p>
        </w:tc>
      </w:tr>
      <w:tr w:rsidR="000249DD" w:rsidRPr="00E15B0B" w:rsidTr="000249DD">
        <w:tc>
          <w:tcPr>
            <w:tcW w:w="4698" w:type="dxa"/>
          </w:tcPr>
          <w:p w:rsidR="000249DD" w:rsidRPr="00DC0839" w:rsidRDefault="000249DD" w:rsidP="000249DD">
            <w:r w:rsidRPr="00DC0839">
              <w:t>Курс доллара, рублей</w:t>
            </w:r>
          </w:p>
        </w:tc>
        <w:tc>
          <w:tcPr>
            <w:tcW w:w="1588" w:type="dxa"/>
          </w:tcPr>
          <w:p w:rsidR="000249DD" w:rsidRPr="00E15B0B" w:rsidRDefault="000249DD" w:rsidP="000249DD">
            <w:pPr>
              <w:jc w:val="center"/>
            </w:pPr>
            <w:r w:rsidRPr="00E15B0B">
              <w:t>37</w:t>
            </w:r>
          </w:p>
        </w:tc>
        <w:tc>
          <w:tcPr>
            <w:tcW w:w="1588" w:type="dxa"/>
          </w:tcPr>
          <w:p w:rsidR="000249DD" w:rsidRPr="00E15B0B" w:rsidRDefault="000249DD" w:rsidP="000249DD">
            <w:pPr>
              <w:jc w:val="center"/>
            </w:pPr>
            <w:r w:rsidRPr="00E15B0B">
              <w:t>38</w:t>
            </w:r>
          </w:p>
        </w:tc>
        <w:tc>
          <w:tcPr>
            <w:tcW w:w="1588" w:type="dxa"/>
          </w:tcPr>
          <w:p w:rsidR="000249DD" w:rsidRPr="00E15B0B" w:rsidRDefault="000249DD" w:rsidP="000249DD">
            <w:pPr>
              <w:jc w:val="center"/>
            </w:pPr>
            <w:r w:rsidRPr="00E15B0B">
              <w:t>38,8</w:t>
            </w:r>
          </w:p>
        </w:tc>
      </w:tr>
      <w:tr w:rsidR="000249DD" w:rsidRPr="00DC0839" w:rsidTr="000249DD">
        <w:tc>
          <w:tcPr>
            <w:tcW w:w="4698" w:type="dxa"/>
          </w:tcPr>
          <w:p w:rsidR="000249DD" w:rsidRPr="00DC0839" w:rsidRDefault="000249DD" w:rsidP="000249DD">
            <w:r w:rsidRPr="00DC0839">
              <w:t>Рост валового регионального (внутреннего) продукта, %</w:t>
            </w:r>
          </w:p>
        </w:tc>
        <w:tc>
          <w:tcPr>
            <w:tcW w:w="1588" w:type="dxa"/>
          </w:tcPr>
          <w:p w:rsidR="000249DD" w:rsidRPr="00DC0839" w:rsidRDefault="000249DD" w:rsidP="000249DD">
            <w:pPr>
              <w:jc w:val="center"/>
            </w:pPr>
            <w:r>
              <w:t>102,0</w:t>
            </w:r>
          </w:p>
        </w:tc>
        <w:tc>
          <w:tcPr>
            <w:tcW w:w="1588" w:type="dxa"/>
          </w:tcPr>
          <w:p w:rsidR="000249DD" w:rsidRPr="00DC0839" w:rsidRDefault="000249DD" w:rsidP="000249DD">
            <w:pPr>
              <w:jc w:val="center"/>
            </w:pPr>
            <w:r>
              <w:t>103,2</w:t>
            </w:r>
          </w:p>
        </w:tc>
        <w:tc>
          <w:tcPr>
            <w:tcW w:w="1588" w:type="dxa"/>
          </w:tcPr>
          <w:p w:rsidR="000249DD" w:rsidRPr="00DC0839" w:rsidRDefault="000249DD" w:rsidP="000249DD">
            <w:pPr>
              <w:jc w:val="center"/>
            </w:pPr>
            <w:r>
              <w:t>103,5</w:t>
            </w:r>
          </w:p>
        </w:tc>
      </w:tr>
      <w:tr w:rsidR="000249DD" w:rsidRPr="00DC0839" w:rsidTr="000249DD">
        <w:tc>
          <w:tcPr>
            <w:tcW w:w="4698" w:type="dxa"/>
          </w:tcPr>
          <w:p w:rsidR="000249DD" w:rsidRPr="00DC0839" w:rsidRDefault="000249DD" w:rsidP="000249DD">
            <w:r w:rsidRPr="00DC0839">
              <w:t>Инфляция, (рост %)</w:t>
            </w:r>
          </w:p>
        </w:tc>
        <w:tc>
          <w:tcPr>
            <w:tcW w:w="1588" w:type="dxa"/>
          </w:tcPr>
          <w:p w:rsidR="000249DD" w:rsidRPr="00474E3C" w:rsidRDefault="000249DD" w:rsidP="000249DD">
            <w:pPr>
              <w:jc w:val="center"/>
            </w:pPr>
            <w:r>
              <w:t>105,0</w:t>
            </w:r>
          </w:p>
        </w:tc>
        <w:tc>
          <w:tcPr>
            <w:tcW w:w="1588" w:type="dxa"/>
          </w:tcPr>
          <w:p w:rsidR="000249DD" w:rsidRPr="00474E3C" w:rsidRDefault="000249DD" w:rsidP="000249DD">
            <w:pPr>
              <w:jc w:val="center"/>
            </w:pPr>
            <w:r>
              <w:t>104,5</w:t>
            </w:r>
          </w:p>
        </w:tc>
        <w:tc>
          <w:tcPr>
            <w:tcW w:w="1588" w:type="dxa"/>
          </w:tcPr>
          <w:p w:rsidR="000249DD" w:rsidRPr="00474E3C" w:rsidRDefault="000249DD" w:rsidP="000249DD">
            <w:pPr>
              <w:jc w:val="center"/>
            </w:pPr>
            <w:r>
              <w:t>104,3</w:t>
            </w:r>
          </w:p>
        </w:tc>
      </w:tr>
    </w:tbl>
    <w:p w:rsidR="000249DD" w:rsidRDefault="000249DD" w:rsidP="000249DD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</w:p>
    <w:p w:rsidR="000249DD" w:rsidRDefault="000249DD" w:rsidP="00EF02AE">
      <w:pPr>
        <w:spacing w:line="288" w:lineRule="auto"/>
        <w:ind w:firstLine="567"/>
        <w:jc w:val="both"/>
        <w:rPr>
          <w:sz w:val="28"/>
          <w:szCs w:val="28"/>
        </w:rPr>
      </w:pPr>
      <w:r w:rsidRPr="00474E3C">
        <w:rPr>
          <w:sz w:val="28"/>
          <w:szCs w:val="28"/>
        </w:rPr>
        <w:t xml:space="preserve">При расчете расходной части консолидированного бюджета </w:t>
      </w:r>
      <w:r w:rsidR="00CF7463">
        <w:rPr>
          <w:color w:val="000000"/>
          <w:sz w:val="28"/>
          <w:szCs w:val="28"/>
        </w:rPr>
        <w:t>Черемшанского мунципального района Республики Татарстан</w:t>
      </w:r>
      <w:r w:rsidR="00CF7463" w:rsidRPr="00474E3C">
        <w:rPr>
          <w:sz w:val="28"/>
          <w:szCs w:val="28"/>
        </w:rPr>
        <w:t xml:space="preserve"> </w:t>
      </w:r>
      <w:r w:rsidRPr="00474E3C">
        <w:rPr>
          <w:sz w:val="28"/>
          <w:szCs w:val="28"/>
        </w:rPr>
        <w:t>Республики Татарстан на 2015-2017 годы использ</w:t>
      </w:r>
      <w:r w:rsidR="002722D0">
        <w:rPr>
          <w:sz w:val="28"/>
          <w:szCs w:val="28"/>
        </w:rPr>
        <w:t>уются</w:t>
      </w:r>
      <w:r w:rsidRPr="00474E3C">
        <w:rPr>
          <w:sz w:val="28"/>
          <w:szCs w:val="28"/>
        </w:rPr>
        <w:t xml:space="preserve"> следующие критерии:</w:t>
      </w:r>
    </w:p>
    <w:p w:rsidR="000249DD" w:rsidRDefault="000249DD" w:rsidP="000249DD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496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2176"/>
        <w:gridCol w:w="2313"/>
        <w:gridCol w:w="2184"/>
      </w:tblGrid>
      <w:tr w:rsidR="000249DD" w:rsidRPr="00474E3C" w:rsidTr="000249DD">
        <w:tc>
          <w:tcPr>
            <w:tcW w:w="1642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Наименование</w:t>
            </w:r>
          </w:p>
        </w:tc>
        <w:tc>
          <w:tcPr>
            <w:tcW w:w="1095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2015</w:t>
            </w:r>
          </w:p>
        </w:tc>
        <w:tc>
          <w:tcPr>
            <w:tcW w:w="1164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2016</w:t>
            </w:r>
          </w:p>
        </w:tc>
        <w:tc>
          <w:tcPr>
            <w:tcW w:w="1099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2017</w:t>
            </w:r>
          </w:p>
        </w:tc>
      </w:tr>
      <w:tr w:rsidR="000249DD" w:rsidRPr="00474E3C" w:rsidTr="000249DD">
        <w:tc>
          <w:tcPr>
            <w:tcW w:w="1642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</w:pPr>
            <w:r w:rsidRPr="00474E3C">
              <w:t xml:space="preserve">Заработная плата работников государственных и муниципальных бюджетных  и автономных учреждений </w:t>
            </w:r>
          </w:p>
        </w:tc>
        <w:tc>
          <w:tcPr>
            <w:tcW w:w="1095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01.10.201</w:t>
            </w:r>
            <w:r>
              <w:t>5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 w:rsidRPr="00474E3C">
              <w:rPr>
                <w:b/>
              </w:rPr>
              <w:t>5,0</w:t>
            </w:r>
            <w:r w:rsidRPr="00474E3C">
              <w:t>%</w:t>
            </w:r>
          </w:p>
        </w:tc>
        <w:tc>
          <w:tcPr>
            <w:tcW w:w="1164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01.10.201</w:t>
            </w:r>
            <w:r>
              <w:t>6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 w:rsidRPr="00B83E5B">
              <w:rPr>
                <w:b/>
              </w:rPr>
              <w:t>4,5</w:t>
            </w:r>
            <w:r w:rsidRPr="00474E3C">
              <w:t xml:space="preserve"> %</w:t>
            </w:r>
          </w:p>
        </w:tc>
        <w:tc>
          <w:tcPr>
            <w:tcW w:w="1099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01.10.201</w:t>
            </w:r>
            <w:r>
              <w:t>7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4,3</w:t>
            </w:r>
            <w:r w:rsidRPr="00474E3C">
              <w:t xml:space="preserve"> %</w:t>
            </w:r>
          </w:p>
        </w:tc>
      </w:tr>
      <w:tr w:rsidR="000249DD" w:rsidRPr="00474E3C" w:rsidTr="000249DD">
        <w:tc>
          <w:tcPr>
            <w:tcW w:w="1642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</w:pPr>
            <w:r w:rsidRPr="00474E3C">
              <w:t>Заработная плата отдельных категорий работников бюджетной сферы (обозначенных в Указах Президента РФ от 07.05.2012г. №597, от 01.06.2012г. №761, от 28.12.2012г. №1688)</w:t>
            </w:r>
          </w:p>
        </w:tc>
        <w:tc>
          <w:tcPr>
            <w:tcW w:w="3358" w:type="pct"/>
            <w:gridSpan w:val="3"/>
            <w:vAlign w:val="center"/>
          </w:tcPr>
          <w:p w:rsidR="000249DD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Ежегодное повышение осуществляется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>
              <w:t>в соответствии с «дорожными картами»</w:t>
            </w:r>
          </w:p>
        </w:tc>
      </w:tr>
      <w:tr w:rsidR="000249DD" w:rsidRPr="00474E3C" w:rsidTr="000249DD">
        <w:trPr>
          <w:trHeight w:val="522"/>
        </w:trPr>
        <w:tc>
          <w:tcPr>
            <w:tcW w:w="1642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</w:pPr>
            <w:r w:rsidRPr="00474E3C">
              <w:t xml:space="preserve">Заработная плата в органах государственного и муниципального управления 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01.10.201</w:t>
            </w:r>
            <w:r>
              <w:t>5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 w:rsidRPr="00474E3C">
              <w:rPr>
                <w:b/>
              </w:rPr>
              <w:t>5,0</w:t>
            </w:r>
            <w:r w:rsidRPr="00474E3C">
              <w:t>%</w:t>
            </w:r>
          </w:p>
        </w:tc>
        <w:tc>
          <w:tcPr>
            <w:tcW w:w="1164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повышение с 01.10.2016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 w:rsidRPr="00B83E5B">
              <w:rPr>
                <w:b/>
              </w:rPr>
              <w:t>4,5</w:t>
            </w:r>
            <w:r w:rsidRPr="00474E3C">
              <w:t xml:space="preserve"> %</w:t>
            </w:r>
          </w:p>
        </w:tc>
        <w:tc>
          <w:tcPr>
            <w:tcW w:w="1099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01.10.201</w:t>
            </w:r>
            <w:r>
              <w:t>7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4,3</w:t>
            </w:r>
            <w:r w:rsidRPr="00474E3C">
              <w:t xml:space="preserve"> %</w:t>
            </w:r>
          </w:p>
        </w:tc>
      </w:tr>
      <w:tr w:rsidR="000249DD" w:rsidRPr="00474E3C" w:rsidTr="000249DD">
        <w:tc>
          <w:tcPr>
            <w:tcW w:w="1642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</w:pPr>
            <w:r w:rsidRPr="00474E3C">
              <w:t xml:space="preserve">Публичные обязательства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</w:pPr>
            <w:r w:rsidRPr="00474E3C">
              <w:t>(денежные выплаты населению)</w:t>
            </w:r>
          </w:p>
        </w:tc>
        <w:tc>
          <w:tcPr>
            <w:tcW w:w="1095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01</w:t>
            </w:r>
            <w:r w:rsidRPr="00474E3C">
              <w:t>.201</w:t>
            </w:r>
            <w:r>
              <w:t>5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 w:rsidRPr="00474E3C">
              <w:rPr>
                <w:b/>
              </w:rPr>
              <w:t>5,0%</w:t>
            </w:r>
          </w:p>
        </w:tc>
        <w:tc>
          <w:tcPr>
            <w:tcW w:w="1164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01.</w:t>
            </w:r>
            <w:r w:rsidRPr="00474E3C">
              <w:t xml:space="preserve">2016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4,5</w:t>
            </w:r>
            <w:r w:rsidRPr="00474E3C">
              <w:rPr>
                <w:b/>
              </w:rPr>
              <w:t>%</w:t>
            </w:r>
          </w:p>
        </w:tc>
        <w:tc>
          <w:tcPr>
            <w:tcW w:w="1099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01</w:t>
            </w:r>
            <w:r w:rsidRPr="00474E3C">
              <w:t>.201</w:t>
            </w:r>
            <w:r>
              <w:t>7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4,3</w:t>
            </w:r>
            <w:r w:rsidRPr="00474E3C">
              <w:t xml:space="preserve"> %</w:t>
            </w:r>
          </w:p>
        </w:tc>
      </w:tr>
      <w:tr w:rsidR="000249DD" w:rsidRPr="00474E3C" w:rsidTr="000249DD">
        <w:tc>
          <w:tcPr>
            <w:tcW w:w="1642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</w:pPr>
            <w:r w:rsidRPr="00474E3C">
              <w:t>Стипендии</w:t>
            </w:r>
          </w:p>
        </w:tc>
        <w:tc>
          <w:tcPr>
            <w:tcW w:w="1095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повышение с </w:t>
            </w:r>
            <w:r w:rsidRPr="00474E3C">
              <w:lastRenderedPageBreak/>
              <w:t>01.</w:t>
            </w:r>
            <w:r>
              <w:t>09</w:t>
            </w:r>
            <w:r w:rsidRPr="00474E3C">
              <w:t>.201</w:t>
            </w:r>
            <w:r>
              <w:t>5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 w:rsidRPr="00474E3C">
              <w:rPr>
                <w:b/>
              </w:rPr>
              <w:t>5,0%</w:t>
            </w:r>
          </w:p>
        </w:tc>
        <w:tc>
          <w:tcPr>
            <w:tcW w:w="1164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lastRenderedPageBreak/>
              <w:t xml:space="preserve">повышение с </w:t>
            </w:r>
            <w:r w:rsidRPr="00474E3C">
              <w:lastRenderedPageBreak/>
              <w:t>01.</w:t>
            </w:r>
            <w:r>
              <w:t>09</w:t>
            </w:r>
            <w:r w:rsidRPr="00474E3C">
              <w:t xml:space="preserve">.2016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4,5</w:t>
            </w:r>
            <w:r w:rsidRPr="00474E3C">
              <w:rPr>
                <w:b/>
              </w:rPr>
              <w:t>%</w:t>
            </w:r>
          </w:p>
        </w:tc>
        <w:tc>
          <w:tcPr>
            <w:tcW w:w="1099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lastRenderedPageBreak/>
              <w:t xml:space="preserve">повышение с </w:t>
            </w:r>
            <w:r w:rsidRPr="00474E3C">
              <w:lastRenderedPageBreak/>
              <w:t>01.</w:t>
            </w:r>
            <w:r>
              <w:t>09</w:t>
            </w:r>
            <w:r w:rsidRPr="00474E3C">
              <w:t>.201</w:t>
            </w:r>
            <w:r>
              <w:t>7</w:t>
            </w:r>
            <w:r w:rsidRPr="00474E3C">
              <w:t xml:space="preserve"> г. 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4,3</w:t>
            </w:r>
            <w:r w:rsidRPr="00474E3C">
              <w:t xml:space="preserve"> %</w:t>
            </w:r>
          </w:p>
        </w:tc>
      </w:tr>
      <w:tr w:rsidR="000249DD" w:rsidRPr="00474E3C" w:rsidTr="000249DD">
        <w:tc>
          <w:tcPr>
            <w:tcW w:w="1642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</w:pPr>
            <w:r w:rsidRPr="00474E3C">
              <w:lastRenderedPageBreak/>
              <w:t>Продукты питания, медикаменты</w:t>
            </w:r>
          </w:p>
        </w:tc>
        <w:tc>
          <w:tcPr>
            <w:tcW w:w="1095" w:type="pct"/>
            <w:tcBorders>
              <w:bottom w:val="single" w:sz="4" w:space="0" w:color="000000"/>
            </w:tcBorders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01</w:t>
            </w:r>
            <w:r w:rsidRPr="00474E3C">
              <w:t>.201</w:t>
            </w:r>
            <w:r>
              <w:t>5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 w:rsidRPr="00474E3C">
              <w:rPr>
                <w:b/>
              </w:rPr>
              <w:t>5,0%</w:t>
            </w:r>
          </w:p>
        </w:tc>
        <w:tc>
          <w:tcPr>
            <w:tcW w:w="1164" w:type="pct"/>
            <w:tcBorders>
              <w:bottom w:val="single" w:sz="4" w:space="0" w:color="000000"/>
            </w:tcBorders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01</w:t>
            </w:r>
            <w:r w:rsidRPr="00474E3C">
              <w:t xml:space="preserve">.2016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4,5</w:t>
            </w:r>
            <w:r w:rsidRPr="00474E3C">
              <w:rPr>
                <w:b/>
              </w:rPr>
              <w:t>%</w:t>
            </w:r>
          </w:p>
        </w:tc>
        <w:tc>
          <w:tcPr>
            <w:tcW w:w="1099" w:type="pct"/>
            <w:tcBorders>
              <w:bottom w:val="single" w:sz="4" w:space="0" w:color="000000"/>
            </w:tcBorders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01</w:t>
            </w:r>
            <w:r w:rsidRPr="00474E3C">
              <w:t>.201</w:t>
            </w:r>
            <w:r>
              <w:t>7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4,3</w:t>
            </w:r>
            <w:r w:rsidRPr="00474E3C">
              <w:t xml:space="preserve"> %</w:t>
            </w:r>
          </w:p>
        </w:tc>
      </w:tr>
      <w:tr w:rsidR="000249DD" w:rsidRPr="00474E3C" w:rsidTr="000249DD">
        <w:tc>
          <w:tcPr>
            <w:tcW w:w="1642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</w:pPr>
            <w:r w:rsidRPr="00474E3C">
              <w:t>Коммунальные услуги</w:t>
            </w:r>
          </w:p>
        </w:tc>
        <w:tc>
          <w:tcPr>
            <w:tcW w:w="1095" w:type="pct"/>
            <w:shd w:val="clear" w:color="auto" w:fill="FFFFFF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07</w:t>
            </w:r>
            <w:r w:rsidRPr="00474E3C">
              <w:t>.201</w:t>
            </w:r>
            <w:r>
              <w:t>5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6</w:t>
            </w:r>
            <w:r w:rsidRPr="00474E3C">
              <w:rPr>
                <w:b/>
              </w:rPr>
              <w:t>,0</w:t>
            </w:r>
            <w:r w:rsidRPr="00474E3C">
              <w:t>%</w:t>
            </w:r>
          </w:p>
        </w:tc>
        <w:tc>
          <w:tcPr>
            <w:tcW w:w="1164" w:type="pct"/>
            <w:shd w:val="clear" w:color="auto" w:fill="FFFFFF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07</w:t>
            </w:r>
            <w:r w:rsidRPr="00474E3C">
              <w:t xml:space="preserve">.2016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5</w:t>
            </w:r>
            <w:r w:rsidRPr="00474E3C">
              <w:rPr>
                <w:b/>
              </w:rPr>
              <w:t>,0</w:t>
            </w:r>
            <w:r w:rsidRPr="00474E3C">
              <w:t>%</w:t>
            </w:r>
          </w:p>
        </w:tc>
        <w:tc>
          <w:tcPr>
            <w:tcW w:w="1099" w:type="pct"/>
            <w:shd w:val="clear" w:color="auto" w:fill="FFFFFF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07</w:t>
            </w:r>
            <w:r w:rsidRPr="00474E3C">
              <w:t>.201</w:t>
            </w:r>
            <w:r>
              <w:t>7</w:t>
            </w:r>
            <w:r w:rsidRPr="00474E3C">
              <w:t xml:space="preserve"> г.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4,0</w:t>
            </w:r>
            <w:r w:rsidRPr="00474E3C">
              <w:t>%</w:t>
            </w:r>
          </w:p>
        </w:tc>
      </w:tr>
      <w:tr w:rsidR="000249DD" w:rsidRPr="00474E3C" w:rsidTr="000249DD">
        <w:tc>
          <w:tcPr>
            <w:tcW w:w="1642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</w:pPr>
            <w:r w:rsidRPr="00474E3C">
              <w:t xml:space="preserve">Остальные расходы </w:t>
            </w:r>
          </w:p>
        </w:tc>
        <w:tc>
          <w:tcPr>
            <w:tcW w:w="1095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уровне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201</w:t>
            </w:r>
            <w:r>
              <w:t>4</w:t>
            </w:r>
            <w:r w:rsidRPr="00474E3C">
              <w:t xml:space="preserve"> г.</w:t>
            </w:r>
          </w:p>
        </w:tc>
        <w:tc>
          <w:tcPr>
            <w:tcW w:w="1164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уровне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201</w:t>
            </w:r>
            <w:r>
              <w:t>4</w:t>
            </w:r>
            <w:r w:rsidRPr="00474E3C">
              <w:t xml:space="preserve"> г.</w:t>
            </w:r>
          </w:p>
        </w:tc>
        <w:tc>
          <w:tcPr>
            <w:tcW w:w="1099" w:type="pct"/>
          </w:tcPr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уровне </w:t>
            </w:r>
          </w:p>
          <w:p w:rsidR="000249DD" w:rsidRPr="00474E3C" w:rsidRDefault="000249DD" w:rsidP="000249DD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201</w:t>
            </w:r>
            <w:r>
              <w:t>4</w:t>
            </w:r>
            <w:r w:rsidRPr="00474E3C">
              <w:t xml:space="preserve"> г.</w:t>
            </w:r>
          </w:p>
        </w:tc>
      </w:tr>
    </w:tbl>
    <w:p w:rsidR="000249DD" w:rsidRDefault="000249DD" w:rsidP="000249DD">
      <w:pPr>
        <w:spacing w:line="276" w:lineRule="auto"/>
        <w:jc w:val="both"/>
        <w:rPr>
          <w:color w:val="000000"/>
          <w:sz w:val="28"/>
          <w:szCs w:val="28"/>
        </w:rPr>
      </w:pP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Выполнение обязательств по повышению заработной платы работников бюджетной сферы требует сохранения и усиления социальной направленности бюджета. Осуществление соответствующих бюджетных расходов будет направлено на повышение качества жизни населения, адресное решение социальных проблем.</w:t>
      </w:r>
    </w:p>
    <w:p w:rsidR="000249DD" w:rsidRPr="003F616E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Одной из важнейших задач на предстоящий период должно стать дальнейшее повышение эффективности бюджетных расходов. В частности н</w:t>
      </w:r>
      <w:r w:rsidRPr="003F616E">
        <w:rPr>
          <w:rStyle w:val="a6"/>
          <w:rFonts w:eastAsia="Calibri"/>
          <w:b w:val="0"/>
          <w:bCs w:val="0"/>
          <w:sz w:val="28"/>
          <w:szCs w:val="28"/>
          <w:lang w:eastAsia="en-US"/>
        </w:rPr>
        <w:t>еобходимо дальнейшее развитие и совершенствование с учетом новейших требований федерального законодательства развития форм оказания и финансового обеспечения государственных (муниципальных) услуг, продолжение последовательной оптимизации бюджетного сектора с выявлением неэффективных государственных (муниципальных) учреждений, с постоянным мониторингом деятельности и качества оказываемых услуг учреждениями социально-культурной сферы, дальнейш</w:t>
      </w:r>
      <w:r>
        <w:rPr>
          <w:rStyle w:val="a6"/>
          <w:rFonts w:eastAsia="Calibri"/>
          <w:b w:val="0"/>
          <w:bCs w:val="0"/>
          <w:sz w:val="28"/>
          <w:szCs w:val="28"/>
          <w:lang w:eastAsia="en-US"/>
        </w:rPr>
        <w:t>ее</w:t>
      </w:r>
      <w:r w:rsidRPr="003F616E">
        <w:rPr>
          <w:rStyle w:val="a6"/>
          <w:rFonts w:eastAsia="Calibri"/>
          <w:b w:val="0"/>
          <w:bCs w:val="0"/>
          <w:sz w:val="28"/>
          <w:szCs w:val="28"/>
          <w:lang w:eastAsia="en-US"/>
        </w:rPr>
        <w:t xml:space="preserve"> усовершенствование инструментов нормативного финансирования</w:t>
      </w:r>
      <w:r>
        <w:rPr>
          <w:rStyle w:val="a6"/>
          <w:rFonts w:eastAsia="Calibri"/>
          <w:b w:val="0"/>
          <w:bCs w:val="0"/>
          <w:sz w:val="28"/>
          <w:szCs w:val="28"/>
          <w:lang w:eastAsia="en-US"/>
        </w:rPr>
        <w:t>, усиление внимания к вопросам получения государственными (муниципальными) организациями доходов от оказания платных услуг.</w:t>
      </w: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Важным фактором при обеспечении сбалансированности и устойчивости бюджетов всех уровней будет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Значимыми направлениями бюджетной политики на предстоящий трехлетний период будут также являться продолжение работы по совершенствованию подходов к осуществлению </w:t>
      </w:r>
      <w:r w:rsidR="00CF7463">
        <w:rPr>
          <w:rStyle w:val="a6"/>
          <w:rFonts w:eastAsia="Calibri"/>
          <w:b w:val="0"/>
          <w:sz w:val="28"/>
          <w:szCs w:val="28"/>
          <w:lang w:eastAsia="en-US"/>
        </w:rPr>
        <w:t>муниципальных</w:t>
      </w: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 закупок товаров, работ и услуг с учетом новых норм федерального законодательства о контрактной системе, повышение открытости и прозрачности бюджетов всех уровней и финансовой деятельности публично-правовых образований в целом, обеспечение повышения качества финансового менеджмента в секторе государственного управления с созданием для этого соответствующих условий организационного и стимулирующего характера, совершенствование в сфере </w:t>
      </w:r>
      <w:r>
        <w:rPr>
          <w:rStyle w:val="a6"/>
          <w:rFonts w:eastAsia="Calibri"/>
          <w:b w:val="0"/>
          <w:sz w:val="28"/>
          <w:szCs w:val="28"/>
          <w:lang w:eastAsia="en-US"/>
        </w:rPr>
        <w:lastRenderedPageBreak/>
        <w:t>финансового контроля и надзора в бюджетной сфере, реализация мероприятий по повышению финансовой грамотности населения.</w:t>
      </w: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В сфере межбюджетных отношений с местными бюджетами основной задачей будет оставаться создание условий для максимальной сбалансированности местных бюджетов всех уровней, с полным обеспечением расходных полномочий доходными источниками, а также при реализации мероприятий по выявлению резервов увеличения доходной базы местных бюджетов.</w:t>
      </w:r>
    </w:p>
    <w:p w:rsidR="000249DD" w:rsidRPr="00B67F09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Ключевыми направлениями бюджетной политики в 2015 – 2017 годах будут оставаться формирование бюджета на основе принципа скользящего трехлетнего бюджетного планирования с одновременным достижением в среднесрочной перспективе более высокой степени увязки с процессом долгосрочного стратегического планирования, развитие программно-целевых методов управления с переходом к формированию бюджета на основе </w:t>
      </w:r>
      <w:r w:rsidR="00CF7463">
        <w:rPr>
          <w:rStyle w:val="a6"/>
          <w:rFonts w:eastAsia="Calibri"/>
          <w:b w:val="0"/>
          <w:sz w:val="28"/>
          <w:szCs w:val="28"/>
          <w:lang w:eastAsia="en-US"/>
        </w:rPr>
        <w:t>муниципальных</w:t>
      </w:r>
      <w:r w:rsidRPr="003F616E">
        <w:rPr>
          <w:rStyle w:val="a6"/>
          <w:rFonts w:eastAsia="Calibri"/>
          <w:b w:val="0"/>
          <w:sz w:val="28"/>
          <w:szCs w:val="28"/>
          <w:lang w:eastAsia="en-US"/>
        </w:rPr>
        <w:t xml:space="preserve"> программ</w:t>
      </w:r>
      <w:r>
        <w:rPr>
          <w:rStyle w:val="a6"/>
          <w:rFonts w:eastAsia="Calibri"/>
          <w:b w:val="0"/>
          <w:sz w:val="28"/>
          <w:szCs w:val="28"/>
          <w:lang w:eastAsia="en-US"/>
        </w:rPr>
        <w:t>.</w:t>
      </w:r>
    </w:p>
    <w:p w:rsidR="000249DD" w:rsidRDefault="000249DD" w:rsidP="0043107E">
      <w:pPr>
        <w:tabs>
          <w:tab w:val="left" w:pos="540"/>
        </w:tabs>
        <w:jc w:val="both"/>
        <w:outlineLvl w:val="2"/>
        <w:rPr>
          <w:b/>
          <w:bCs/>
          <w:sz w:val="28"/>
          <w:szCs w:val="28"/>
        </w:rPr>
      </w:pPr>
    </w:p>
    <w:sectPr w:rsidR="000249DD" w:rsidSect="001F3FEE">
      <w:headerReference w:type="default" r:id="rId8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70" w:rsidRDefault="00F81470" w:rsidP="007F2447">
      <w:r>
        <w:separator/>
      </w:r>
    </w:p>
  </w:endnote>
  <w:endnote w:type="continuationSeparator" w:id="1">
    <w:p w:rsidR="00F81470" w:rsidRDefault="00F81470" w:rsidP="007F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70" w:rsidRDefault="00F81470" w:rsidP="007F2447">
      <w:r>
        <w:separator/>
      </w:r>
    </w:p>
  </w:footnote>
  <w:footnote w:type="continuationSeparator" w:id="1">
    <w:p w:rsidR="00F81470" w:rsidRDefault="00F81470" w:rsidP="007F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1907"/>
      <w:docPartObj>
        <w:docPartGallery w:val="Page Numbers (Top of Page)"/>
        <w:docPartUnique/>
      </w:docPartObj>
    </w:sdtPr>
    <w:sdtContent>
      <w:p w:rsidR="002722D0" w:rsidRDefault="00C84D68">
        <w:pPr>
          <w:pStyle w:val="a7"/>
          <w:jc w:val="center"/>
        </w:pPr>
        <w:fldSimple w:instr=" PAGE   \* MERGEFORMAT ">
          <w:r w:rsidR="00494D04">
            <w:rPr>
              <w:noProof/>
            </w:rPr>
            <w:t>4</w:t>
          </w:r>
        </w:fldSimple>
      </w:p>
    </w:sdtContent>
  </w:sdt>
  <w:p w:rsidR="002722D0" w:rsidRDefault="002722D0" w:rsidP="008E086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74"/>
    <w:rsid w:val="00001EDC"/>
    <w:rsid w:val="00011A35"/>
    <w:rsid w:val="00013177"/>
    <w:rsid w:val="0001426B"/>
    <w:rsid w:val="000143DF"/>
    <w:rsid w:val="000245DE"/>
    <w:rsid w:val="000249DD"/>
    <w:rsid w:val="00024AA7"/>
    <w:rsid w:val="00034CBC"/>
    <w:rsid w:val="00037D65"/>
    <w:rsid w:val="00042ACD"/>
    <w:rsid w:val="00045249"/>
    <w:rsid w:val="0004618C"/>
    <w:rsid w:val="00051474"/>
    <w:rsid w:val="00052154"/>
    <w:rsid w:val="00052167"/>
    <w:rsid w:val="00053284"/>
    <w:rsid w:val="00057656"/>
    <w:rsid w:val="00062E85"/>
    <w:rsid w:val="0006498E"/>
    <w:rsid w:val="0006635E"/>
    <w:rsid w:val="00066D1E"/>
    <w:rsid w:val="0007574E"/>
    <w:rsid w:val="00075F14"/>
    <w:rsid w:val="000825D1"/>
    <w:rsid w:val="0008619A"/>
    <w:rsid w:val="00093177"/>
    <w:rsid w:val="000A04B7"/>
    <w:rsid w:val="000B6471"/>
    <w:rsid w:val="000C2741"/>
    <w:rsid w:val="000D384E"/>
    <w:rsid w:val="000D5AE2"/>
    <w:rsid w:val="000D7BCA"/>
    <w:rsid w:val="000F2E1B"/>
    <w:rsid w:val="000F7ED1"/>
    <w:rsid w:val="00102B17"/>
    <w:rsid w:val="00110452"/>
    <w:rsid w:val="00113F28"/>
    <w:rsid w:val="00113FF5"/>
    <w:rsid w:val="0011475A"/>
    <w:rsid w:val="00116D67"/>
    <w:rsid w:val="00124D71"/>
    <w:rsid w:val="00126EF9"/>
    <w:rsid w:val="001461DC"/>
    <w:rsid w:val="00146710"/>
    <w:rsid w:val="00150665"/>
    <w:rsid w:val="00160A39"/>
    <w:rsid w:val="001633F1"/>
    <w:rsid w:val="001670FC"/>
    <w:rsid w:val="001737F0"/>
    <w:rsid w:val="0018626B"/>
    <w:rsid w:val="00191191"/>
    <w:rsid w:val="00191AA5"/>
    <w:rsid w:val="001973A4"/>
    <w:rsid w:val="00197A25"/>
    <w:rsid w:val="001A562E"/>
    <w:rsid w:val="001B6FE3"/>
    <w:rsid w:val="001D3856"/>
    <w:rsid w:val="001D55DA"/>
    <w:rsid w:val="001D5C01"/>
    <w:rsid w:val="001D6A01"/>
    <w:rsid w:val="001D6F8C"/>
    <w:rsid w:val="001F3FEE"/>
    <w:rsid w:val="00210DEB"/>
    <w:rsid w:val="002139C9"/>
    <w:rsid w:val="00215B94"/>
    <w:rsid w:val="00216705"/>
    <w:rsid w:val="00216D80"/>
    <w:rsid w:val="002235C7"/>
    <w:rsid w:val="0022438A"/>
    <w:rsid w:val="0022746E"/>
    <w:rsid w:val="0023071B"/>
    <w:rsid w:val="00236C59"/>
    <w:rsid w:val="002422F4"/>
    <w:rsid w:val="00252C00"/>
    <w:rsid w:val="00254D51"/>
    <w:rsid w:val="00262323"/>
    <w:rsid w:val="002722D0"/>
    <w:rsid w:val="002769D4"/>
    <w:rsid w:val="002855E0"/>
    <w:rsid w:val="002A12C1"/>
    <w:rsid w:val="002A2DCB"/>
    <w:rsid w:val="002A2FB6"/>
    <w:rsid w:val="002A3C81"/>
    <w:rsid w:val="002A6A0F"/>
    <w:rsid w:val="002A76D9"/>
    <w:rsid w:val="002B4C40"/>
    <w:rsid w:val="002C223A"/>
    <w:rsid w:val="002D2866"/>
    <w:rsid w:val="002D6D61"/>
    <w:rsid w:val="002D7D37"/>
    <w:rsid w:val="002E7F5F"/>
    <w:rsid w:val="002F3440"/>
    <w:rsid w:val="002F5957"/>
    <w:rsid w:val="003005EA"/>
    <w:rsid w:val="003055CB"/>
    <w:rsid w:val="00311902"/>
    <w:rsid w:val="0032098E"/>
    <w:rsid w:val="00322A0F"/>
    <w:rsid w:val="0032376E"/>
    <w:rsid w:val="003253BF"/>
    <w:rsid w:val="003325CE"/>
    <w:rsid w:val="00337278"/>
    <w:rsid w:val="003401FF"/>
    <w:rsid w:val="0035415D"/>
    <w:rsid w:val="00354DC4"/>
    <w:rsid w:val="00357F66"/>
    <w:rsid w:val="0036386B"/>
    <w:rsid w:val="00363C1D"/>
    <w:rsid w:val="00374608"/>
    <w:rsid w:val="0037639A"/>
    <w:rsid w:val="003773A0"/>
    <w:rsid w:val="003823D0"/>
    <w:rsid w:val="00385916"/>
    <w:rsid w:val="003A14C9"/>
    <w:rsid w:val="003A6150"/>
    <w:rsid w:val="003A6178"/>
    <w:rsid w:val="003B74AD"/>
    <w:rsid w:val="003C6828"/>
    <w:rsid w:val="003D571D"/>
    <w:rsid w:val="003E0B13"/>
    <w:rsid w:val="003F13E5"/>
    <w:rsid w:val="003F6E07"/>
    <w:rsid w:val="00402AA8"/>
    <w:rsid w:val="004114AD"/>
    <w:rsid w:val="00413475"/>
    <w:rsid w:val="00415119"/>
    <w:rsid w:val="00416940"/>
    <w:rsid w:val="004256BC"/>
    <w:rsid w:val="0043107E"/>
    <w:rsid w:val="00442796"/>
    <w:rsid w:val="0044321C"/>
    <w:rsid w:val="00443419"/>
    <w:rsid w:val="00445861"/>
    <w:rsid w:val="00446475"/>
    <w:rsid w:val="00455155"/>
    <w:rsid w:val="004562E8"/>
    <w:rsid w:val="00456807"/>
    <w:rsid w:val="00460DFF"/>
    <w:rsid w:val="0046178D"/>
    <w:rsid w:val="00461CAE"/>
    <w:rsid w:val="004634D0"/>
    <w:rsid w:val="0046489A"/>
    <w:rsid w:val="004652CA"/>
    <w:rsid w:val="00467C14"/>
    <w:rsid w:val="00474287"/>
    <w:rsid w:val="00474678"/>
    <w:rsid w:val="00477F08"/>
    <w:rsid w:val="004873E7"/>
    <w:rsid w:val="0049161B"/>
    <w:rsid w:val="0049232C"/>
    <w:rsid w:val="00494D04"/>
    <w:rsid w:val="00496DD5"/>
    <w:rsid w:val="00497507"/>
    <w:rsid w:val="004A2D8C"/>
    <w:rsid w:val="004B40B7"/>
    <w:rsid w:val="004B6C1D"/>
    <w:rsid w:val="004C0BFD"/>
    <w:rsid w:val="004C1EDF"/>
    <w:rsid w:val="004E44F0"/>
    <w:rsid w:val="004E7786"/>
    <w:rsid w:val="004F1899"/>
    <w:rsid w:val="004F6487"/>
    <w:rsid w:val="0050388A"/>
    <w:rsid w:val="00505A23"/>
    <w:rsid w:val="00506CE2"/>
    <w:rsid w:val="0051513B"/>
    <w:rsid w:val="00520755"/>
    <w:rsid w:val="00520BF3"/>
    <w:rsid w:val="0052309F"/>
    <w:rsid w:val="00530636"/>
    <w:rsid w:val="005359F9"/>
    <w:rsid w:val="0054221A"/>
    <w:rsid w:val="005500A2"/>
    <w:rsid w:val="005500FB"/>
    <w:rsid w:val="005510F8"/>
    <w:rsid w:val="0055519E"/>
    <w:rsid w:val="0056355A"/>
    <w:rsid w:val="005664D6"/>
    <w:rsid w:val="005725AB"/>
    <w:rsid w:val="005800E2"/>
    <w:rsid w:val="0058594C"/>
    <w:rsid w:val="00592F2C"/>
    <w:rsid w:val="00594B97"/>
    <w:rsid w:val="005A1E2B"/>
    <w:rsid w:val="005A5F45"/>
    <w:rsid w:val="005A5F74"/>
    <w:rsid w:val="005A7995"/>
    <w:rsid w:val="005A7E6E"/>
    <w:rsid w:val="005B3910"/>
    <w:rsid w:val="005B4FBD"/>
    <w:rsid w:val="005B6D18"/>
    <w:rsid w:val="005C0667"/>
    <w:rsid w:val="005C2EED"/>
    <w:rsid w:val="005C31EC"/>
    <w:rsid w:val="005C6F5D"/>
    <w:rsid w:val="005C70E4"/>
    <w:rsid w:val="005D3B40"/>
    <w:rsid w:val="005D57DA"/>
    <w:rsid w:val="005E2EBD"/>
    <w:rsid w:val="005F25FF"/>
    <w:rsid w:val="005F4243"/>
    <w:rsid w:val="00602115"/>
    <w:rsid w:val="00607F53"/>
    <w:rsid w:val="00611492"/>
    <w:rsid w:val="00620C04"/>
    <w:rsid w:val="00622823"/>
    <w:rsid w:val="00625E3B"/>
    <w:rsid w:val="00630BBF"/>
    <w:rsid w:val="0063107A"/>
    <w:rsid w:val="006325DE"/>
    <w:rsid w:val="00635A7E"/>
    <w:rsid w:val="0064368A"/>
    <w:rsid w:val="00643E7A"/>
    <w:rsid w:val="00646ECD"/>
    <w:rsid w:val="00655EC0"/>
    <w:rsid w:val="00667B20"/>
    <w:rsid w:val="0068003A"/>
    <w:rsid w:val="006832B5"/>
    <w:rsid w:val="006919F6"/>
    <w:rsid w:val="00692328"/>
    <w:rsid w:val="00694B22"/>
    <w:rsid w:val="00696C21"/>
    <w:rsid w:val="006A15EC"/>
    <w:rsid w:val="006A2E97"/>
    <w:rsid w:val="006A4638"/>
    <w:rsid w:val="006B29BA"/>
    <w:rsid w:val="006B320E"/>
    <w:rsid w:val="006B373D"/>
    <w:rsid w:val="006B5551"/>
    <w:rsid w:val="006B6B1C"/>
    <w:rsid w:val="006D5B9B"/>
    <w:rsid w:val="006E1F24"/>
    <w:rsid w:val="006E59E7"/>
    <w:rsid w:val="006F2965"/>
    <w:rsid w:val="0070030E"/>
    <w:rsid w:val="0071039F"/>
    <w:rsid w:val="00710D54"/>
    <w:rsid w:val="00711283"/>
    <w:rsid w:val="00711AA6"/>
    <w:rsid w:val="007132E4"/>
    <w:rsid w:val="0071606F"/>
    <w:rsid w:val="007201DA"/>
    <w:rsid w:val="007264E7"/>
    <w:rsid w:val="0073340B"/>
    <w:rsid w:val="00752F1F"/>
    <w:rsid w:val="00756B4A"/>
    <w:rsid w:val="00757518"/>
    <w:rsid w:val="007575AF"/>
    <w:rsid w:val="00762E02"/>
    <w:rsid w:val="00766435"/>
    <w:rsid w:val="007748C9"/>
    <w:rsid w:val="00775773"/>
    <w:rsid w:val="00781D9D"/>
    <w:rsid w:val="00782D70"/>
    <w:rsid w:val="007873AA"/>
    <w:rsid w:val="00793985"/>
    <w:rsid w:val="00794160"/>
    <w:rsid w:val="00794657"/>
    <w:rsid w:val="007A69EA"/>
    <w:rsid w:val="007B5B22"/>
    <w:rsid w:val="007C04CF"/>
    <w:rsid w:val="007D0F59"/>
    <w:rsid w:val="007D3D8A"/>
    <w:rsid w:val="007E281F"/>
    <w:rsid w:val="007E4C1D"/>
    <w:rsid w:val="007F2447"/>
    <w:rsid w:val="007F5788"/>
    <w:rsid w:val="007F643F"/>
    <w:rsid w:val="007F762F"/>
    <w:rsid w:val="00803783"/>
    <w:rsid w:val="008112AE"/>
    <w:rsid w:val="00813B20"/>
    <w:rsid w:val="00815847"/>
    <w:rsid w:val="008200B9"/>
    <w:rsid w:val="00823083"/>
    <w:rsid w:val="008300EB"/>
    <w:rsid w:val="008324BE"/>
    <w:rsid w:val="008371DA"/>
    <w:rsid w:val="00841FE5"/>
    <w:rsid w:val="00843F46"/>
    <w:rsid w:val="008478C0"/>
    <w:rsid w:val="00847ED2"/>
    <w:rsid w:val="0085028A"/>
    <w:rsid w:val="00850BA4"/>
    <w:rsid w:val="00853E87"/>
    <w:rsid w:val="008559B1"/>
    <w:rsid w:val="008615C6"/>
    <w:rsid w:val="0086495D"/>
    <w:rsid w:val="008708BF"/>
    <w:rsid w:val="00871656"/>
    <w:rsid w:val="008717C5"/>
    <w:rsid w:val="00876384"/>
    <w:rsid w:val="008876FE"/>
    <w:rsid w:val="00890910"/>
    <w:rsid w:val="008953AC"/>
    <w:rsid w:val="008C08AA"/>
    <w:rsid w:val="008C2749"/>
    <w:rsid w:val="008D0534"/>
    <w:rsid w:val="008D2CED"/>
    <w:rsid w:val="008D46E5"/>
    <w:rsid w:val="008E086E"/>
    <w:rsid w:val="008E1056"/>
    <w:rsid w:val="00901CCB"/>
    <w:rsid w:val="00903F51"/>
    <w:rsid w:val="00906629"/>
    <w:rsid w:val="0090763F"/>
    <w:rsid w:val="0091008B"/>
    <w:rsid w:val="009115FF"/>
    <w:rsid w:val="00917911"/>
    <w:rsid w:val="00925610"/>
    <w:rsid w:val="00925F09"/>
    <w:rsid w:val="0093752B"/>
    <w:rsid w:val="0093784B"/>
    <w:rsid w:val="00940C43"/>
    <w:rsid w:val="0094193D"/>
    <w:rsid w:val="00950586"/>
    <w:rsid w:val="00950ADF"/>
    <w:rsid w:val="0095148B"/>
    <w:rsid w:val="0095162C"/>
    <w:rsid w:val="009548DD"/>
    <w:rsid w:val="009611B9"/>
    <w:rsid w:val="00963768"/>
    <w:rsid w:val="00972B5A"/>
    <w:rsid w:val="0098089E"/>
    <w:rsid w:val="0098214C"/>
    <w:rsid w:val="00984360"/>
    <w:rsid w:val="00984E96"/>
    <w:rsid w:val="00992149"/>
    <w:rsid w:val="009A74B9"/>
    <w:rsid w:val="009B12C9"/>
    <w:rsid w:val="009B32B6"/>
    <w:rsid w:val="009B3F8D"/>
    <w:rsid w:val="009B59F6"/>
    <w:rsid w:val="009C71A6"/>
    <w:rsid w:val="009C72A5"/>
    <w:rsid w:val="009E2AAC"/>
    <w:rsid w:val="009F4281"/>
    <w:rsid w:val="009F775C"/>
    <w:rsid w:val="009F7A6B"/>
    <w:rsid w:val="00A006DC"/>
    <w:rsid w:val="00A03A36"/>
    <w:rsid w:val="00A03C6A"/>
    <w:rsid w:val="00A05831"/>
    <w:rsid w:val="00A05BC2"/>
    <w:rsid w:val="00A07D10"/>
    <w:rsid w:val="00A10024"/>
    <w:rsid w:val="00A16524"/>
    <w:rsid w:val="00A247C7"/>
    <w:rsid w:val="00A25AFF"/>
    <w:rsid w:val="00A2629B"/>
    <w:rsid w:val="00A32124"/>
    <w:rsid w:val="00A3433B"/>
    <w:rsid w:val="00A42AC1"/>
    <w:rsid w:val="00A44542"/>
    <w:rsid w:val="00A527DB"/>
    <w:rsid w:val="00A53138"/>
    <w:rsid w:val="00A55341"/>
    <w:rsid w:val="00A626C4"/>
    <w:rsid w:val="00A70E9F"/>
    <w:rsid w:val="00A729BF"/>
    <w:rsid w:val="00A754A7"/>
    <w:rsid w:val="00A80046"/>
    <w:rsid w:val="00A83A91"/>
    <w:rsid w:val="00AA3867"/>
    <w:rsid w:val="00AA655D"/>
    <w:rsid w:val="00AA67AC"/>
    <w:rsid w:val="00AB0BBE"/>
    <w:rsid w:val="00AB276F"/>
    <w:rsid w:val="00AB36B0"/>
    <w:rsid w:val="00AC49BC"/>
    <w:rsid w:val="00AC6354"/>
    <w:rsid w:val="00AC6B13"/>
    <w:rsid w:val="00AC73B6"/>
    <w:rsid w:val="00AD76E4"/>
    <w:rsid w:val="00AE0A55"/>
    <w:rsid w:val="00AF17EF"/>
    <w:rsid w:val="00AF1E2A"/>
    <w:rsid w:val="00B05E9C"/>
    <w:rsid w:val="00B1350C"/>
    <w:rsid w:val="00B13F45"/>
    <w:rsid w:val="00B1579C"/>
    <w:rsid w:val="00B2231F"/>
    <w:rsid w:val="00B2557F"/>
    <w:rsid w:val="00B30816"/>
    <w:rsid w:val="00B33AF6"/>
    <w:rsid w:val="00B35E03"/>
    <w:rsid w:val="00B4271D"/>
    <w:rsid w:val="00B45387"/>
    <w:rsid w:val="00B47B21"/>
    <w:rsid w:val="00B51E1B"/>
    <w:rsid w:val="00B54954"/>
    <w:rsid w:val="00B62AF7"/>
    <w:rsid w:val="00B64290"/>
    <w:rsid w:val="00B658C0"/>
    <w:rsid w:val="00B65A55"/>
    <w:rsid w:val="00B66A07"/>
    <w:rsid w:val="00B673D4"/>
    <w:rsid w:val="00B67F09"/>
    <w:rsid w:val="00B77414"/>
    <w:rsid w:val="00B8170B"/>
    <w:rsid w:val="00B84512"/>
    <w:rsid w:val="00B86206"/>
    <w:rsid w:val="00B93832"/>
    <w:rsid w:val="00BA2185"/>
    <w:rsid w:val="00BB2DA0"/>
    <w:rsid w:val="00BB4EF5"/>
    <w:rsid w:val="00BB7B1E"/>
    <w:rsid w:val="00BC51D4"/>
    <w:rsid w:val="00BD2D19"/>
    <w:rsid w:val="00BD3FF0"/>
    <w:rsid w:val="00BD7C9D"/>
    <w:rsid w:val="00BE1895"/>
    <w:rsid w:val="00BE31B6"/>
    <w:rsid w:val="00BE5CF3"/>
    <w:rsid w:val="00BF099B"/>
    <w:rsid w:val="00C00195"/>
    <w:rsid w:val="00C05B6D"/>
    <w:rsid w:val="00C06810"/>
    <w:rsid w:val="00C06F20"/>
    <w:rsid w:val="00C10FD6"/>
    <w:rsid w:val="00C22EEB"/>
    <w:rsid w:val="00C237E9"/>
    <w:rsid w:val="00C25554"/>
    <w:rsid w:val="00C352A4"/>
    <w:rsid w:val="00C354EE"/>
    <w:rsid w:val="00C36852"/>
    <w:rsid w:val="00C44D98"/>
    <w:rsid w:val="00C45B4E"/>
    <w:rsid w:val="00C54212"/>
    <w:rsid w:val="00C60753"/>
    <w:rsid w:val="00C6100E"/>
    <w:rsid w:val="00C64CB9"/>
    <w:rsid w:val="00C663BD"/>
    <w:rsid w:val="00C77BCB"/>
    <w:rsid w:val="00C81B7A"/>
    <w:rsid w:val="00C834B9"/>
    <w:rsid w:val="00C84D68"/>
    <w:rsid w:val="00CA3EF0"/>
    <w:rsid w:val="00CA410B"/>
    <w:rsid w:val="00CA549C"/>
    <w:rsid w:val="00CB167B"/>
    <w:rsid w:val="00CB3D27"/>
    <w:rsid w:val="00CB598A"/>
    <w:rsid w:val="00CE1601"/>
    <w:rsid w:val="00CE1D6C"/>
    <w:rsid w:val="00CE7642"/>
    <w:rsid w:val="00CF1DFE"/>
    <w:rsid w:val="00CF7463"/>
    <w:rsid w:val="00D020BC"/>
    <w:rsid w:val="00D02242"/>
    <w:rsid w:val="00D05111"/>
    <w:rsid w:val="00D177B7"/>
    <w:rsid w:val="00D222B2"/>
    <w:rsid w:val="00D32438"/>
    <w:rsid w:val="00D355EE"/>
    <w:rsid w:val="00D405FF"/>
    <w:rsid w:val="00D4732A"/>
    <w:rsid w:val="00D47B83"/>
    <w:rsid w:val="00D5007B"/>
    <w:rsid w:val="00D56A26"/>
    <w:rsid w:val="00D71981"/>
    <w:rsid w:val="00D743AB"/>
    <w:rsid w:val="00D75F75"/>
    <w:rsid w:val="00D77A27"/>
    <w:rsid w:val="00D84897"/>
    <w:rsid w:val="00D903EC"/>
    <w:rsid w:val="00D9187A"/>
    <w:rsid w:val="00DA54B1"/>
    <w:rsid w:val="00DA5F0E"/>
    <w:rsid w:val="00DB078C"/>
    <w:rsid w:val="00DB1D71"/>
    <w:rsid w:val="00DB367B"/>
    <w:rsid w:val="00DB6C54"/>
    <w:rsid w:val="00DC04EF"/>
    <w:rsid w:val="00DC14B4"/>
    <w:rsid w:val="00DC1EDD"/>
    <w:rsid w:val="00DE513F"/>
    <w:rsid w:val="00DE7268"/>
    <w:rsid w:val="00DF6FF1"/>
    <w:rsid w:val="00E00E24"/>
    <w:rsid w:val="00E15CD0"/>
    <w:rsid w:val="00E24571"/>
    <w:rsid w:val="00E26FA2"/>
    <w:rsid w:val="00E27067"/>
    <w:rsid w:val="00E35B4F"/>
    <w:rsid w:val="00E35DBB"/>
    <w:rsid w:val="00E42D19"/>
    <w:rsid w:val="00E44058"/>
    <w:rsid w:val="00E51536"/>
    <w:rsid w:val="00E5447B"/>
    <w:rsid w:val="00E6109F"/>
    <w:rsid w:val="00E92C49"/>
    <w:rsid w:val="00EA7242"/>
    <w:rsid w:val="00EB23F1"/>
    <w:rsid w:val="00EC354C"/>
    <w:rsid w:val="00EC539E"/>
    <w:rsid w:val="00EC681F"/>
    <w:rsid w:val="00EC7CC6"/>
    <w:rsid w:val="00ED130A"/>
    <w:rsid w:val="00ED3B58"/>
    <w:rsid w:val="00ED6013"/>
    <w:rsid w:val="00EE33CA"/>
    <w:rsid w:val="00EE3CE6"/>
    <w:rsid w:val="00EF02AE"/>
    <w:rsid w:val="00EF4DBB"/>
    <w:rsid w:val="00F00165"/>
    <w:rsid w:val="00F029EC"/>
    <w:rsid w:val="00F074DE"/>
    <w:rsid w:val="00F13B6B"/>
    <w:rsid w:val="00F2738D"/>
    <w:rsid w:val="00F3039F"/>
    <w:rsid w:val="00F47FA8"/>
    <w:rsid w:val="00F530E8"/>
    <w:rsid w:val="00F56CED"/>
    <w:rsid w:val="00F61389"/>
    <w:rsid w:val="00F729C9"/>
    <w:rsid w:val="00F74952"/>
    <w:rsid w:val="00F81470"/>
    <w:rsid w:val="00F87BB6"/>
    <w:rsid w:val="00F95C74"/>
    <w:rsid w:val="00F96808"/>
    <w:rsid w:val="00FA304B"/>
    <w:rsid w:val="00FA4F76"/>
    <w:rsid w:val="00FA6C3A"/>
    <w:rsid w:val="00FB4B77"/>
    <w:rsid w:val="00FC152B"/>
    <w:rsid w:val="00FC7E62"/>
    <w:rsid w:val="00FE3819"/>
    <w:rsid w:val="00FE6138"/>
    <w:rsid w:val="00FF1680"/>
    <w:rsid w:val="00FF6425"/>
    <w:rsid w:val="00FF6605"/>
    <w:rsid w:val="00FF6A26"/>
    <w:rsid w:val="00FF6D63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4"/>
    <w:pPr>
      <w:jc w:val="left"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5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A5F74"/>
    <w:rPr>
      <w:rFonts w:eastAsia="MS Mincho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5A5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5A5F74"/>
    <w:rPr>
      <w:b/>
      <w:bCs/>
    </w:rPr>
  </w:style>
  <w:style w:type="paragraph" w:styleId="a7">
    <w:name w:val="header"/>
    <w:basedOn w:val="a"/>
    <w:link w:val="a8"/>
    <w:uiPriority w:val="99"/>
    <w:unhideWhenUsed/>
    <w:rsid w:val="005A5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F74"/>
    <w:rPr>
      <w:rFonts w:eastAsia="MS Mincho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B2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DA0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Body Text"/>
    <w:basedOn w:val="a"/>
    <w:link w:val="ac"/>
    <w:uiPriority w:val="99"/>
    <w:semiHidden/>
    <w:unhideWhenUsed/>
    <w:rsid w:val="004C0B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0BFD"/>
    <w:rPr>
      <w:rFonts w:eastAsia="MS Mincho"/>
      <w:sz w:val="24"/>
      <w:szCs w:val="24"/>
      <w:lang w:eastAsia="ja-JP"/>
    </w:rPr>
  </w:style>
  <w:style w:type="paragraph" w:customStyle="1" w:styleId="ad">
    <w:name w:val="ЭЭГ"/>
    <w:basedOn w:val="a"/>
    <w:rsid w:val="004C0BFD"/>
    <w:pPr>
      <w:spacing w:line="360" w:lineRule="auto"/>
      <w:ind w:firstLine="720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4C0B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0BFD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A38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3867"/>
    <w:rPr>
      <w:rFonts w:eastAsia="MS Mincho"/>
      <w:sz w:val="24"/>
      <w:szCs w:val="24"/>
      <w:lang w:eastAsia="ja-JP"/>
    </w:rPr>
  </w:style>
  <w:style w:type="paragraph" w:customStyle="1" w:styleId="1">
    <w:name w:val="Ñòèëü1"/>
    <w:basedOn w:val="a"/>
    <w:rsid w:val="0043107E"/>
    <w:pPr>
      <w:spacing w:line="288" w:lineRule="auto"/>
    </w:pPr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A9A7-9354-46C0-B54A-E697D882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cher-rfo1</cp:lastModifiedBy>
  <cp:revision>4</cp:revision>
  <cp:lastPrinted>2014-09-15T08:38:00Z</cp:lastPrinted>
  <dcterms:created xsi:type="dcterms:W3CDTF">2014-11-03T09:51:00Z</dcterms:created>
  <dcterms:modified xsi:type="dcterms:W3CDTF">2014-11-17T11:24:00Z</dcterms:modified>
</cp:coreProperties>
</file>